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7</w:t>
      </w: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</w:t>
      </w:r>
    </w:p>
    <w:p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внесенных изменениях в муниципальную программу «</w:t>
      </w:r>
      <w:r>
        <w:rPr>
          <w:rFonts w:ascii="Times New Roman" w:hAnsi="Times New Roman"/>
          <w:color w:val="000000" w:themeColor="text1"/>
          <w:sz w:val="24"/>
          <w:szCs w:val="24"/>
        </w:rPr>
        <w:t>Эффективное управление муниципальными финансами ЗАТО Северск» на 2025-2027 годы за 2025 год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right="16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тыс. руб.     </w:t>
      </w: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2054"/>
        <w:gridCol w:w="2054"/>
        <w:gridCol w:w="2055"/>
        <w:gridCol w:w="2055"/>
        <w:gridCol w:w="1410"/>
      </w:tblGrid>
      <w:tr>
        <w:tc>
          <w:tcPr>
            <w:tcW w:w="106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6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Первоначальная редакция</w:t>
            </w:r>
          </w:p>
        </w:tc>
        <w:tc>
          <w:tcPr>
            <w:tcW w:w="106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состоянию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 01.03.2025</w:t>
            </w:r>
          </w:p>
        </w:tc>
        <w:tc>
          <w:tcPr>
            <w:tcW w:w="106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состоянию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 01.07.2025</w:t>
            </w:r>
          </w:p>
        </w:tc>
        <w:tc>
          <w:tcPr>
            <w:tcW w:w="733" w:type="pct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изменений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2025 год</w:t>
            </w:r>
          </w:p>
        </w:tc>
      </w:tr>
      <w:tr>
        <w:trPr>
          <w:trHeight w:val="1390"/>
        </w:trPr>
        <w:tc>
          <w:tcPr>
            <w:tcW w:w="1067" w:type="pct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акт</w:t>
            </w:r>
          </w:p>
        </w:tc>
        <w:tc>
          <w:tcPr>
            <w:tcW w:w="1067" w:type="pc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ЗАТО Северск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16.12.2024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4884-па</w:t>
            </w:r>
          </w:p>
        </w:tc>
        <w:tc>
          <w:tcPr>
            <w:tcW w:w="1067" w:type="pc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ЗАТО Се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верск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28.03.2025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689-па</w:t>
            </w:r>
          </w:p>
        </w:tc>
        <w:tc>
          <w:tcPr>
            <w:tcW w:w="1067" w:type="pct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ЗАТО Северск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24.07.2025 № 1793-па</w:t>
            </w:r>
          </w:p>
        </w:tc>
        <w:tc>
          <w:tcPr>
            <w:tcW w:w="733" w:type="pct"/>
            <w:vMerge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1067" w:type="pct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ассигнований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 реализацию программы (изменения), всего, в том числе по подпрограммам:</w:t>
            </w:r>
          </w:p>
        </w:tc>
        <w:tc>
          <w:tcPr>
            <w:tcW w:w="106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98 441,21</w:t>
            </w:r>
          </w:p>
        </w:tc>
        <w:tc>
          <w:tcPr>
            <w:tcW w:w="106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86 983,26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(-11 457,95)</w:t>
            </w:r>
          </w:p>
        </w:tc>
        <w:tc>
          <w:tcPr>
            <w:tcW w:w="106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88 736,64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(+1 753,38)</w:t>
            </w:r>
          </w:p>
        </w:tc>
        <w:tc>
          <w:tcPr>
            <w:tcW w:w="73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-9 704,57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1067" w:type="pct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06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1 686,29</w:t>
            </w:r>
          </w:p>
        </w:tc>
        <w:tc>
          <w:tcPr>
            <w:tcW w:w="106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1 746,19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(+59,90)</w:t>
            </w:r>
          </w:p>
        </w:tc>
        <w:tc>
          <w:tcPr>
            <w:tcW w:w="106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1 746,19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(0,00)</w:t>
            </w:r>
          </w:p>
        </w:tc>
        <w:tc>
          <w:tcPr>
            <w:tcW w:w="73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+59,90</w:t>
            </w:r>
          </w:p>
        </w:tc>
      </w:tr>
      <w:tr>
        <w:tc>
          <w:tcPr>
            <w:tcW w:w="1067" w:type="pct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1067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56 953,73</w:t>
            </w:r>
          </w:p>
        </w:tc>
        <w:tc>
          <w:tcPr>
            <w:tcW w:w="1067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41 740,26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(-15 213,47)</w:t>
            </w:r>
          </w:p>
        </w:tc>
        <w:tc>
          <w:tcPr>
            <w:tcW w:w="106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41 740,26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(0,00)</w:t>
            </w:r>
          </w:p>
        </w:tc>
        <w:tc>
          <w:tcPr>
            <w:tcW w:w="73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-15 213,47</w:t>
            </w:r>
          </w:p>
        </w:tc>
      </w:tr>
      <w:tr>
        <w:tc>
          <w:tcPr>
            <w:tcW w:w="1067" w:type="pct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Обеспечивающая подпрограмма</w:t>
            </w:r>
          </w:p>
        </w:tc>
        <w:tc>
          <w:tcPr>
            <w:tcW w:w="1067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39 801,19</w:t>
            </w:r>
          </w:p>
        </w:tc>
        <w:tc>
          <w:tcPr>
            <w:tcW w:w="1067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43 496,81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(+3 695,62)</w:t>
            </w:r>
          </w:p>
        </w:tc>
        <w:tc>
          <w:tcPr>
            <w:tcW w:w="106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45 250,19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(+1 753,38)</w:t>
            </w:r>
          </w:p>
        </w:tc>
        <w:tc>
          <w:tcPr>
            <w:tcW w:w="733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+5 449,00</w:t>
            </w:r>
          </w:p>
        </w:tc>
      </w:tr>
    </w:tbl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 Обоснование изменений, внесенных Постановлением Администрации ЗАТО Северск от 28.03.2025 № 689-па.</w:t>
      </w:r>
    </w:p>
    <w:p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состоянию на 01.03.2025 в утвержденную муниципальную программу (далее – Программа) </w:t>
      </w:r>
      <w:r>
        <w:rPr>
          <w:rFonts w:ascii="Times New Roman" w:hAnsi="Times New Roman"/>
          <w:color w:val="000000" w:themeColor="text1"/>
          <w:sz w:val="24"/>
          <w:szCs w:val="24"/>
        </w:rPr>
        <w:t>в соответствии со статьей 179 Бюджетного кодекса Российской Федерации, пунктом 30 постановления Администрации ЗАТО Северск от 24.09.2018 N 1797 «Об утверждении Порядка принятия решений о разработке муниципальных программ ЗАТО Северск Томской области, их формирования и реализации»</w:t>
      </w:r>
      <w:r>
        <w:rPr>
          <w:rFonts w:ascii="Times New Roman" w:hAnsi="Times New Roman" w:cs="Times New Roman"/>
          <w:sz w:val="24"/>
          <w:szCs w:val="24"/>
        </w:rPr>
        <w:t xml:space="preserve">, в целях приведения утвержденного финансирования и показателей результативности Программы (подпрограмм) в соответствие бюджетным ассигнованиям, утвержденным решением Думы ЗАТО Северск от 24.12.2024 № 54/1 «О бюджете ЗАТО Северск на 2025 год и на плановый период 2026 и 2027 годов»,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внесены изменения </w:t>
      </w:r>
      <w:r>
        <w:rPr>
          <w:rFonts w:ascii="Times New Roman" w:hAnsi="Times New Roman" w:cs="Times New Roman"/>
          <w:sz w:val="24"/>
          <w:szCs w:val="24"/>
        </w:rPr>
        <w:t>на 11 457,95 тыс. руб., из них:</w:t>
      </w:r>
    </w:p>
    <w:p>
      <w:pPr>
        <w:pStyle w:val="a3"/>
        <w:spacing w:after="0"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1) по подпрограмме 1«Повышение эффективности управления муниципальными финансами» увеличены бюджетные ассигнования на 2025 год на сумму 59,90 тыс. руб.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в связи с оплатой </w:t>
      </w:r>
      <w:r>
        <w:rPr>
          <w:rFonts w:ascii="Times New Roman" w:hAnsi="Times New Roman" w:cs="Times New Roman"/>
          <w:sz w:val="24"/>
          <w:szCs w:val="24"/>
        </w:rPr>
        <w:t xml:space="preserve">в январе 2025 года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услуг сопровождения программного продукта «БАРС. Бюджет Онлайн»</w:t>
      </w:r>
      <w:r>
        <w:rPr>
          <w:rFonts w:ascii="Times New Roman" w:hAnsi="Times New Roman" w:cs="Times New Roman"/>
          <w:sz w:val="24"/>
          <w:szCs w:val="24"/>
        </w:rPr>
        <w:t xml:space="preserve"> за декабрь 2024 года, документ о приемке №1 от 09.01.2025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в соответствии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br/>
        <w:t>с условиями муниципального контракта от 08.12.2023 №2;</w:t>
      </w:r>
    </w:p>
    <w:p>
      <w:pPr>
        <w:pStyle w:val="a3"/>
        <w:spacing w:after="0"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по подпрограмме 2 «Обеспечение долговой устойчивости бюджета ЗАТО Северск»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на 2025 год уменьшены бюджетные ассигнования с учетом уменьшения расходов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br/>
        <w:t xml:space="preserve">по обслуживанию муниципального долга на сумму 15 213,47 тыс. руб. Данное уменьшение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t>обусловлено образовавшейся экономией полученной за счет досрочного погашения коммерческого кредита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>
      <w:pPr>
        <w:pStyle w:val="20"/>
        <w:shd w:val="clear" w:color="auto" w:fill="auto"/>
        <w:tabs>
          <w:tab w:val="left" w:pos="1024"/>
        </w:tabs>
        <w:ind w:firstLine="709"/>
        <w:jc w:val="both"/>
        <w:rPr>
          <w:rFonts w:ascii="Times New Roman" w:hAnsi="Times New Roman"/>
          <w:sz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3) 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по обеспечивающей подпрограмме сальдировано увеличены бюджетные ассигнования на сумму 3 695,62 тыс. руб. в том числе:</w:t>
      </w:r>
    </w:p>
    <w:p>
      <w:pPr>
        <w:widowControl w:val="0"/>
        <w:tabs>
          <w:tab w:val="left" w:pos="1024"/>
        </w:tabs>
        <w:spacing w:after="0" w:line="317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) уменьшены расходы на сумму 589,84 тыс. руб., в том числе: </w:t>
      </w:r>
    </w:p>
    <w:p>
      <w:pPr>
        <w:widowControl w:val="0"/>
        <w:tabs>
          <w:tab w:val="left" w:pos="1024"/>
        </w:tabs>
        <w:spacing w:after="0" w:line="317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- 520,84 тыс. руб. - перераспределены в пользу Администрации ЗАТО Северск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br/>
        <w:t>на выплату однократного единовременного поощрения при прекращении муниципальной службы (выходом на пенсию) в 2025 году;</w:t>
      </w:r>
    </w:p>
    <w:p>
      <w:pPr>
        <w:widowControl w:val="0"/>
        <w:tabs>
          <w:tab w:val="left" w:pos="1024"/>
        </w:tabs>
        <w:spacing w:after="0" w:line="317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- 69,00 ты. руб. – на приобретение комплектующих для персональных компьютеров,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br/>
        <w:t>а так же на приобретение оргтехники;</w:t>
      </w:r>
    </w:p>
    <w:p>
      <w:pPr>
        <w:widowControl w:val="0"/>
        <w:tabs>
          <w:tab w:val="left" w:pos="1067"/>
        </w:tabs>
        <w:spacing w:after="0" w:line="317" w:lineRule="exact"/>
        <w:ind w:firstLine="74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) увеличены расходы на сумму 4 285,46 тыс. руб., в том числе:</w:t>
      </w:r>
    </w:p>
    <w:p>
      <w:pPr>
        <w:widowControl w:val="0"/>
        <w:numPr>
          <w:ilvl w:val="0"/>
          <w:numId w:val="14"/>
        </w:numPr>
        <w:tabs>
          <w:tab w:val="left" w:pos="1052"/>
        </w:tabs>
        <w:spacing w:after="0" w:line="317" w:lineRule="exact"/>
        <w:ind w:firstLine="880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4 276,36 тыс. руб. – повышение на 15% заработной платы и начислений на выплаты по оплате труда</w:t>
      </w:r>
      <w:r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муниципальных служащих Финансового управления в связи решением Думы ЗАТО Северск от 06.02.2025 № 55/4 «О внесении изменения в Решение Думы ЗАТО Северск от 25.04.2013 № 38/9 «Об утверждении Положения об условиях и размере оплаты труда муниципальных служащих ЗАТО Северск»;</w:t>
      </w:r>
    </w:p>
    <w:p>
      <w:pPr>
        <w:spacing w:after="0"/>
        <w:ind w:firstLine="708"/>
        <w:jc w:val="both"/>
      </w:pPr>
      <w:r>
        <w:rPr>
          <w:rFonts w:ascii="Times New Roman" w:eastAsiaTheme="minorHAnsi" w:hAnsi="Times New Roman"/>
          <w:color w:val="000000"/>
          <w:sz w:val="24"/>
          <w:szCs w:val="24"/>
          <w:lang w:bidi="ru-RU"/>
        </w:rPr>
        <w:t xml:space="preserve">9,1 тыс. руб. - в связи с потребностью в проведении ремонта, вышедшего из строя, блока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bidi="ru-RU"/>
        </w:rPr>
        <w:t>фотобарабана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bidi="ru-RU"/>
        </w:rPr>
        <w:t xml:space="preserve"> МФУ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bidi="ru-RU"/>
        </w:rPr>
        <w:t>Kyocera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bidi="ru-RU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bidi="ru-RU"/>
        </w:rPr>
        <w:t>TASKalfa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bidi="ru-RU"/>
        </w:rPr>
        <w:t xml:space="preserve"> 6002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>
        <w:t xml:space="preserve"> </w:t>
      </w:r>
    </w:p>
    <w:p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 Обоснование изменений, внесенных Постановлением Администрации ЗАТО Северск от 24.07.2025 № 1793-па.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01.07.2025 в утвержденную Программу на основании пункта 30 Порядка принятия решений о разработке муниципальных программ ЗАТО Северск Томской области, их формирования и реализации, утвержденного постановлением Администрации ЗАТО Северск от 24.09.2018 № 1797, внесены изменения:</w:t>
      </w:r>
    </w:p>
    <w:p>
      <w:pPr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1) по 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обеспечивающей подпрограмме в I полугодии 2025 года сальдировано увеличены бюджетные ассигнования на сумму 1 753,38 тыс. руб. в том числе:</w:t>
      </w:r>
    </w:p>
    <w:p>
      <w:pPr>
        <w:spacing w:after="0"/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увеличены на 2 088,79 тыс. руб. по КОСГУ 266 «Социальные пособия </w:t>
      </w:r>
      <w:r>
        <w:rPr>
          <w:rFonts w:ascii="Times New Roman" w:eastAsiaTheme="minorHAnsi" w:hAnsi="Times New Roman"/>
          <w:sz w:val="24"/>
          <w:szCs w:val="24"/>
          <w:lang w:eastAsia="en-US"/>
        </w:rPr>
        <w:br/>
        <w:t>и компенсации персоналу в денежной форме»;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- уменьшены на 335,41 тыс. руб. - по заработной плате и начислениям на выплаты </w:t>
      </w:r>
      <w:r>
        <w:rPr>
          <w:rFonts w:ascii="Times New Roman" w:eastAsiaTheme="minorHAnsi" w:hAnsi="Times New Roman"/>
          <w:sz w:val="24"/>
          <w:szCs w:val="24"/>
          <w:lang w:eastAsia="en-US"/>
        </w:rPr>
        <w:br/>
        <w:t xml:space="preserve">по оплате труда в соответствии с Решением Думы ЗАТО Северск от 06.02.2025 №55/4 </w:t>
      </w:r>
      <w:r>
        <w:rPr>
          <w:rFonts w:ascii="Times New Roman" w:eastAsiaTheme="minorHAnsi" w:hAnsi="Times New Roman"/>
          <w:sz w:val="24"/>
          <w:szCs w:val="24"/>
          <w:lang w:eastAsia="en-US"/>
        </w:rPr>
        <w:br/>
        <w:t xml:space="preserve">«О внесении изменения в Решение Думы ЗАТО Северск от 25.04.2013 № 38/9 </w:t>
      </w:r>
      <w:r>
        <w:rPr>
          <w:rFonts w:ascii="Times New Roman" w:eastAsiaTheme="minorHAnsi" w:hAnsi="Times New Roman"/>
          <w:sz w:val="24"/>
          <w:szCs w:val="24"/>
          <w:lang w:eastAsia="en-US"/>
        </w:rPr>
        <w:br/>
        <w:t>«Об утверждении Положения об условиях и размере оплаты труда муниципальных служащих ЗАТО Северск»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 Постановлением Администрации ЗАТО Северск от 20.10.2025 N 2567-па  </w:t>
      </w:r>
      <w:r>
        <w:rPr>
          <w:rFonts w:ascii="Times New Roman" w:hAnsi="Times New Roman" w:cs="Times New Roman"/>
          <w:sz w:val="24"/>
          <w:szCs w:val="24"/>
        </w:rPr>
        <w:t>структура и содержание Программы приведены в соответствие с Методическими рекомендациями по разработке и реализации государственных программ субъектов Российской Федерации и муниципальных программ, направленными письмом от 06.02.2023 Министерства экономического развития Российской Федерации № 3493-ПК/Д19и, Министерства финансов Российской Федерации № 26-02-06/9321 и Порядком принятия решений о разработке муниципальных программ ЗАТО Северск Томской области, их формирования и реализации, утвержденный постановлением Администрации ЗАТО Северск от 24.09.2018 № 1797 «Об утверждении Порядка принятия решений о разработке муниципальных программ ЗАТО Северск Томской области, их формирования и реализации».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целом Программа исполнена в сумме 73 858,81 тыс. руб.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20"/>
        <w:szCs w:val="20"/>
      </w:rPr>
    </w:pPr>
    <w:r>
      <w:rPr>
        <w:rFonts w:ascii="Times New Roman CYR" w:eastAsia="Times New Roman" w:hAnsi="Times New Roman CYR" w:cs="Times New Roman"/>
        <w:sz w:val="20"/>
        <w:szCs w:val="20"/>
      </w:rPr>
      <w:t>Внутренний номер: 0369596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20"/>
        <w:szCs w:val="20"/>
      </w:rPr>
    </w:pPr>
    <w:r>
      <w:rPr>
        <w:rFonts w:ascii="Times New Roman CYR" w:eastAsia="Times New Roman" w:hAnsi="Times New Roman CYR" w:cs="Times New Roman"/>
        <w:sz w:val="20"/>
        <w:szCs w:val="20"/>
      </w:rPr>
      <w:t>Внутренний номер: 0369596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30109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FFFFFF" w:themeColor="background1"/>
      </w:rPr>
    </w:sdtEndPr>
    <w:sdtContent>
      <w:p>
        <w:pPr>
          <w:pStyle w:val="a4"/>
          <w:jc w:val="center"/>
          <w:rPr>
            <w:rFonts w:ascii="Times New Roman" w:hAnsi="Times New Roman" w:cs="Times New Roman"/>
            <w:color w:val="FFFFFF" w:themeColor="background1"/>
          </w:rPr>
        </w:pPr>
        <w:r>
          <w:rPr>
            <w:rFonts w:ascii="Times New Roman" w:hAnsi="Times New Roman" w:cs="Times New Roman"/>
            <w:color w:val="FFFFFF" w:themeColor="background1"/>
          </w:rPr>
          <w:fldChar w:fldCharType="begin"/>
        </w:r>
        <w:r>
          <w:rPr>
            <w:rFonts w:ascii="Times New Roman" w:hAnsi="Times New Roman" w:cs="Times New Roman"/>
            <w:color w:val="FFFFFF" w:themeColor="background1"/>
          </w:rPr>
          <w:instrText>PAGE   \* MERGEFORMAT</w:instrText>
        </w:r>
        <w:r>
          <w:rPr>
            <w:rFonts w:ascii="Times New Roman" w:hAnsi="Times New Roman" w:cs="Times New Roman"/>
            <w:color w:val="FFFFFF" w:themeColor="background1"/>
          </w:rPr>
          <w:fldChar w:fldCharType="separate"/>
        </w:r>
        <w:r>
          <w:rPr>
            <w:rFonts w:ascii="Times New Roman" w:hAnsi="Times New Roman" w:cs="Times New Roman"/>
            <w:noProof/>
            <w:color w:val="FFFFFF" w:themeColor="background1"/>
          </w:rPr>
          <w:t>2</w:t>
        </w:r>
        <w:r>
          <w:rPr>
            <w:rFonts w:ascii="Times New Roman" w:hAnsi="Times New Roman" w:cs="Times New Roman"/>
            <w:color w:val="FFFFFF" w:themeColor="background1"/>
          </w:rPr>
          <w:fldChar w:fldCharType="end"/>
        </w:r>
      </w:p>
    </w:sdtContent>
  </w:sdt>
  <w:p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242F5"/>
    <w:multiLevelType w:val="hybridMultilevel"/>
    <w:tmpl w:val="D5CA5B94"/>
    <w:lvl w:ilvl="0" w:tplc="F9A253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FC4229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42492D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C66A16"/>
    <w:multiLevelType w:val="hybridMultilevel"/>
    <w:tmpl w:val="E8AE1842"/>
    <w:lvl w:ilvl="0" w:tplc="38848280">
      <w:start w:val="1"/>
      <w:numFmt w:val="decimal"/>
      <w:lvlText w:val="%1."/>
      <w:lvlJc w:val="left"/>
      <w:pPr>
        <w:ind w:left="1065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E1542C2"/>
    <w:multiLevelType w:val="multilevel"/>
    <w:tmpl w:val="8DDE00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6E2271"/>
    <w:multiLevelType w:val="hybridMultilevel"/>
    <w:tmpl w:val="9CBC71E4"/>
    <w:lvl w:ilvl="0" w:tplc="06624B3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DCA6C2B"/>
    <w:multiLevelType w:val="hybridMultilevel"/>
    <w:tmpl w:val="7144AC1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C9F5D43"/>
    <w:multiLevelType w:val="hybridMultilevel"/>
    <w:tmpl w:val="E504661A"/>
    <w:lvl w:ilvl="0" w:tplc="91EA4F1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6CF03C3"/>
    <w:multiLevelType w:val="hybridMultilevel"/>
    <w:tmpl w:val="7898F31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C135826"/>
    <w:multiLevelType w:val="hybridMultilevel"/>
    <w:tmpl w:val="3C562C48"/>
    <w:lvl w:ilvl="0" w:tplc="5B04314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EF6285D"/>
    <w:multiLevelType w:val="hybridMultilevel"/>
    <w:tmpl w:val="7B8AE01E"/>
    <w:lvl w:ilvl="0" w:tplc="7F0EBBC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73671596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7F00DD7"/>
    <w:multiLevelType w:val="multilevel"/>
    <w:tmpl w:val="2A02EB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D154F77"/>
    <w:multiLevelType w:val="hybridMultilevel"/>
    <w:tmpl w:val="CB04F33C"/>
    <w:lvl w:ilvl="0" w:tplc="03067F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9"/>
  </w:num>
  <w:num w:numId="8">
    <w:abstractNumId w:val="6"/>
  </w:num>
  <w:num w:numId="9">
    <w:abstractNumId w:val="13"/>
  </w:num>
  <w:num w:numId="10">
    <w:abstractNumId w:val="10"/>
  </w:num>
  <w:num w:numId="11">
    <w:abstractNumId w:val="8"/>
  </w:num>
  <w:num w:numId="12">
    <w:abstractNumId w:val="7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C99CD3-46E7-4330-9BB2-35343216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table" w:styleId="a8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Pr>
      <w:rFonts w:eastAsia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pPr>
      <w:widowControl w:val="0"/>
      <w:shd w:val="clear" w:color="auto" w:fill="FFFFFF"/>
      <w:spacing w:after="0" w:line="274" w:lineRule="exact"/>
      <w:jc w:val="center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1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Ткачева Т.Н.</cp:lastModifiedBy>
  <cp:revision>7</cp:revision>
  <cp:lastPrinted>2025-02-26T10:20:00Z</cp:lastPrinted>
  <dcterms:created xsi:type="dcterms:W3CDTF">2026-02-17T10:31:00Z</dcterms:created>
  <dcterms:modified xsi:type="dcterms:W3CDTF">2026-02-25T10:27:00Z</dcterms:modified>
</cp:coreProperties>
</file>